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1E05" w:rsidRPr="007370C8" w:rsidRDefault="007370C8" w:rsidP="00231E05">
      <w:pPr>
        <w:rPr>
          <w:u w:val="single"/>
        </w:rPr>
      </w:pPr>
      <w:r w:rsidRPr="007370C8">
        <w:rPr>
          <w:u w:val="single"/>
        </w:rPr>
        <w:t xml:space="preserve">Proposed </w:t>
      </w:r>
      <w:r w:rsidR="00015F7F" w:rsidRPr="007370C8">
        <w:rPr>
          <w:u w:val="single"/>
        </w:rPr>
        <w:t>Amendments</w:t>
      </w:r>
    </w:p>
    <w:p w:rsidR="00231E05" w:rsidRDefault="00231E05" w:rsidP="00231E05">
      <w:r>
        <w:t xml:space="preserve">Page 18, Sect 20-55 (4), </w:t>
      </w:r>
      <w:r w:rsidR="00015F7F">
        <w:t>D</w:t>
      </w:r>
      <w:r>
        <w:t xml:space="preserve">elete sub paragraphs (a), (b) and (c) </w:t>
      </w:r>
      <w:r w:rsidR="00015F7F">
        <w:t xml:space="preserve">which provide additional ability of service stations to have changeable text, </w:t>
      </w:r>
      <w:r>
        <w:t>but leaving (d) as is</w:t>
      </w:r>
      <w:r w:rsidR="00015F7F">
        <w:t xml:space="preserve"> to allow for gas price posting</w:t>
      </w:r>
      <w:r>
        <w:t>.</w:t>
      </w:r>
    </w:p>
    <w:p w:rsidR="00231E05" w:rsidRDefault="00231E05" w:rsidP="00231E05">
      <w:r>
        <w:t xml:space="preserve">Page 19, Sect 20-57 (h), </w:t>
      </w:r>
      <w:r w:rsidR="00015F7F">
        <w:t>W</w:t>
      </w:r>
      <w:r>
        <w:t>all signs:</w:t>
      </w:r>
    </w:p>
    <w:tbl>
      <w:tblPr>
        <w:tblStyle w:val="TableGrid"/>
        <w:tblW w:w="0" w:type="auto"/>
        <w:tblLook w:val="04A0"/>
      </w:tblPr>
      <w:tblGrid>
        <w:gridCol w:w="2394"/>
        <w:gridCol w:w="2394"/>
        <w:gridCol w:w="2394"/>
        <w:gridCol w:w="2394"/>
      </w:tblGrid>
      <w:tr w:rsidR="00EE3000" w:rsidRPr="00CB01FF" w:rsidTr="00A12BAB">
        <w:tc>
          <w:tcPr>
            <w:tcW w:w="2394" w:type="dxa"/>
          </w:tcPr>
          <w:p w:rsidR="00EE3000" w:rsidRPr="00CB01FF" w:rsidRDefault="00EE3000" w:rsidP="00A12BAB">
            <w:pPr>
              <w:jc w:val="center"/>
              <w:rPr>
                <w:sz w:val="20"/>
                <w:szCs w:val="20"/>
              </w:rPr>
            </w:pPr>
            <w:r w:rsidRPr="00CB01FF">
              <w:rPr>
                <w:sz w:val="20"/>
                <w:szCs w:val="20"/>
              </w:rPr>
              <w:t>Floor Area of Tenant Space</w:t>
            </w:r>
          </w:p>
        </w:tc>
        <w:tc>
          <w:tcPr>
            <w:tcW w:w="2394" w:type="dxa"/>
          </w:tcPr>
          <w:p w:rsidR="00EE3000" w:rsidRPr="00CB01FF" w:rsidRDefault="00EE3000" w:rsidP="00A12BAB">
            <w:pPr>
              <w:jc w:val="center"/>
              <w:rPr>
                <w:sz w:val="20"/>
                <w:szCs w:val="20"/>
              </w:rPr>
            </w:pPr>
            <w:r w:rsidRPr="00CB01FF">
              <w:rPr>
                <w:sz w:val="20"/>
                <w:szCs w:val="20"/>
              </w:rPr>
              <w:t>Max Total Signage per Tenant Space</w:t>
            </w:r>
          </w:p>
        </w:tc>
        <w:tc>
          <w:tcPr>
            <w:tcW w:w="2394" w:type="dxa"/>
          </w:tcPr>
          <w:p w:rsidR="00EE3000" w:rsidRPr="00CB01FF" w:rsidRDefault="00EE3000" w:rsidP="00A12BAB">
            <w:pPr>
              <w:jc w:val="center"/>
              <w:rPr>
                <w:sz w:val="20"/>
                <w:szCs w:val="20"/>
              </w:rPr>
            </w:pPr>
            <w:r w:rsidRPr="00CB01FF">
              <w:rPr>
                <w:sz w:val="20"/>
                <w:szCs w:val="20"/>
              </w:rPr>
              <w:t>Maximum Size of Any one Sign</w:t>
            </w:r>
          </w:p>
        </w:tc>
        <w:tc>
          <w:tcPr>
            <w:tcW w:w="2394" w:type="dxa"/>
          </w:tcPr>
          <w:p w:rsidR="00EE3000" w:rsidRPr="00CB01FF" w:rsidRDefault="00EE3000" w:rsidP="00A12BAB">
            <w:pPr>
              <w:jc w:val="center"/>
              <w:rPr>
                <w:sz w:val="20"/>
                <w:szCs w:val="20"/>
              </w:rPr>
            </w:pPr>
            <w:r w:rsidRPr="00CB01FF">
              <w:rPr>
                <w:sz w:val="20"/>
                <w:szCs w:val="20"/>
              </w:rPr>
              <w:t>Maximum Number of Wall Signs</w:t>
            </w:r>
          </w:p>
        </w:tc>
      </w:tr>
      <w:tr w:rsidR="00EE3000" w:rsidRPr="00CB01FF" w:rsidTr="00A12BAB">
        <w:tc>
          <w:tcPr>
            <w:tcW w:w="2394" w:type="dxa"/>
          </w:tcPr>
          <w:p w:rsidR="00EE3000" w:rsidRPr="00CB01FF" w:rsidRDefault="00EE3000" w:rsidP="00A12BAB">
            <w:pPr>
              <w:jc w:val="center"/>
              <w:rPr>
                <w:sz w:val="20"/>
                <w:szCs w:val="20"/>
              </w:rPr>
            </w:pPr>
            <w:r>
              <w:rPr>
                <w:sz w:val="20"/>
                <w:szCs w:val="20"/>
              </w:rPr>
              <w:t>Less than</w:t>
            </w:r>
            <w:r w:rsidRPr="00CB01FF">
              <w:rPr>
                <w:sz w:val="20"/>
                <w:szCs w:val="20"/>
              </w:rPr>
              <w:t xml:space="preserve"> 2,500 sq. ft.</w:t>
            </w:r>
          </w:p>
        </w:tc>
        <w:tc>
          <w:tcPr>
            <w:tcW w:w="2394" w:type="dxa"/>
          </w:tcPr>
          <w:p w:rsidR="00EE3000" w:rsidRPr="00CB01FF" w:rsidRDefault="00EE3000" w:rsidP="00A12BAB">
            <w:pPr>
              <w:jc w:val="center"/>
              <w:rPr>
                <w:sz w:val="20"/>
                <w:szCs w:val="20"/>
              </w:rPr>
            </w:pPr>
            <w:r>
              <w:rPr>
                <w:sz w:val="20"/>
                <w:szCs w:val="20"/>
              </w:rPr>
              <w:t>80</w:t>
            </w:r>
          </w:p>
        </w:tc>
        <w:tc>
          <w:tcPr>
            <w:tcW w:w="2394" w:type="dxa"/>
          </w:tcPr>
          <w:p w:rsidR="00EE3000" w:rsidRPr="00CB01FF" w:rsidRDefault="00EE3000" w:rsidP="00A12BAB">
            <w:pPr>
              <w:jc w:val="center"/>
              <w:rPr>
                <w:sz w:val="20"/>
                <w:szCs w:val="20"/>
              </w:rPr>
            </w:pPr>
            <w:r>
              <w:rPr>
                <w:sz w:val="20"/>
                <w:szCs w:val="20"/>
              </w:rPr>
              <w:t>50</w:t>
            </w:r>
          </w:p>
        </w:tc>
        <w:tc>
          <w:tcPr>
            <w:tcW w:w="2394" w:type="dxa"/>
          </w:tcPr>
          <w:p w:rsidR="00EE3000" w:rsidRPr="00CB01FF" w:rsidRDefault="00EE3000" w:rsidP="00A12BAB">
            <w:pPr>
              <w:jc w:val="center"/>
              <w:rPr>
                <w:sz w:val="20"/>
                <w:szCs w:val="20"/>
              </w:rPr>
            </w:pPr>
            <w:r>
              <w:rPr>
                <w:sz w:val="20"/>
                <w:szCs w:val="20"/>
              </w:rPr>
              <w:t>2</w:t>
            </w:r>
          </w:p>
        </w:tc>
      </w:tr>
      <w:tr w:rsidR="00EE3000" w:rsidRPr="00CB01FF" w:rsidTr="00A12BAB">
        <w:tc>
          <w:tcPr>
            <w:tcW w:w="2394" w:type="dxa"/>
          </w:tcPr>
          <w:p w:rsidR="00EE3000" w:rsidRPr="00CB01FF" w:rsidRDefault="00EE3000" w:rsidP="00A12BAB">
            <w:pPr>
              <w:jc w:val="center"/>
              <w:rPr>
                <w:sz w:val="20"/>
                <w:szCs w:val="20"/>
              </w:rPr>
            </w:pPr>
            <w:r w:rsidRPr="00CB01FF">
              <w:rPr>
                <w:sz w:val="20"/>
                <w:szCs w:val="20"/>
              </w:rPr>
              <w:t>2,500 – 10,000 sq. ft.</w:t>
            </w:r>
          </w:p>
        </w:tc>
        <w:tc>
          <w:tcPr>
            <w:tcW w:w="2394" w:type="dxa"/>
          </w:tcPr>
          <w:p w:rsidR="00EE3000" w:rsidRPr="00CB01FF" w:rsidRDefault="00EE3000" w:rsidP="00A12BAB">
            <w:pPr>
              <w:jc w:val="center"/>
              <w:rPr>
                <w:sz w:val="20"/>
                <w:szCs w:val="20"/>
              </w:rPr>
            </w:pPr>
            <w:r>
              <w:rPr>
                <w:sz w:val="20"/>
                <w:szCs w:val="20"/>
              </w:rPr>
              <w:t>150</w:t>
            </w:r>
          </w:p>
        </w:tc>
        <w:tc>
          <w:tcPr>
            <w:tcW w:w="2394" w:type="dxa"/>
          </w:tcPr>
          <w:p w:rsidR="00EE3000" w:rsidRPr="00CB01FF" w:rsidRDefault="00EE3000" w:rsidP="00A12BAB">
            <w:pPr>
              <w:jc w:val="center"/>
              <w:rPr>
                <w:sz w:val="20"/>
                <w:szCs w:val="20"/>
              </w:rPr>
            </w:pPr>
            <w:r>
              <w:rPr>
                <w:sz w:val="20"/>
                <w:szCs w:val="20"/>
              </w:rPr>
              <w:t>80</w:t>
            </w:r>
          </w:p>
        </w:tc>
        <w:tc>
          <w:tcPr>
            <w:tcW w:w="2394" w:type="dxa"/>
          </w:tcPr>
          <w:p w:rsidR="00EE3000" w:rsidRPr="00CB01FF" w:rsidRDefault="00EE3000" w:rsidP="00A12BAB">
            <w:pPr>
              <w:jc w:val="center"/>
              <w:rPr>
                <w:sz w:val="20"/>
                <w:szCs w:val="20"/>
              </w:rPr>
            </w:pPr>
            <w:r>
              <w:rPr>
                <w:sz w:val="20"/>
                <w:szCs w:val="20"/>
              </w:rPr>
              <w:t>2</w:t>
            </w:r>
          </w:p>
        </w:tc>
      </w:tr>
      <w:tr w:rsidR="00EE3000" w:rsidRPr="00CB01FF" w:rsidTr="00A12BAB">
        <w:tc>
          <w:tcPr>
            <w:tcW w:w="2394" w:type="dxa"/>
          </w:tcPr>
          <w:p w:rsidR="00EE3000" w:rsidRPr="00CB01FF" w:rsidRDefault="00EE3000" w:rsidP="00A12BAB">
            <w:pPr>
              <w:jc w:val="center"/>
              <w:rPr>
                <w:sz w:val="20"/>
                <w:szCs w:val="20"/>
              </w:rPr>
            </w:pPr>
            <w:r w:rsidRPr="00CB01FF">
              <w:rPr>
                <w:sz w:val="20"/>
                <w:szCs w:val="20"/>
              </w:rPr>
              <w:t>10,000 – 25,000 sq. ft.</w:t>
            </w:r>
          </w:p>
        </w:tc>
        <w:tc>
          <w:tcPr>
            <w:tcW w:w="2394" w:type="dxa"/>
          </w:tcPr>
          <w:p w:rsidR="00EE3000" w:rsidRPr="00CB01FF" w:rsidRDefault="00EE3000" w:rsidP="00A12BAB">
            <w:pPr>
              <w:jc w:val="center"/>
              <w:rPr>
                <w:sz w:val="20"/>
                <w:szCs w:val="20"/>
              </w:rPr>
            </w:pPr>
            <w:r>
              <w:rPr>
                <w:sz w:val="20"/>
                <w:szCs w:val="20"/>
              </w:rPr>
              <w:t>225</w:t>
            </w:r>
          </w:p>
        </w:tc>
        <w:tc>
          <w:tcPr>
            <w:tcW w:w="2394" w:type="dxa"/>
          </w:tcPr>
          <w:p w:rsidR="00EE3000" w:rsidRPr="00CB01FF" w:rsidRDefault="00EE3000" w:rsidP="00A12BAB">
            <w:pPr>
              <w:jc w:val="center"/>
              <w:rPr>
                <w:sz w:val="20"/>
                <w:szCs w:val="20"/>
              </w:rPr>
            </w:pPr>
            <w:r>
              <w:rPr>
                <w:sz w:val="20"/>
                <w:szCs w:val="20"/>
              </w:rPr>
              <w:t>125</w:t>
            </w:r>
          </w:p>
        </w:tc>
        <w:tc>
          <w:tcPr>
            <w:tcW w:w="2394" w:type="dxa"/>
          </w:tcPr>
          <w:p w:rsidR="00EE3000" w:rsidRPr="00CB01FF" w:rsidRDefault="00EE3000" w:rsidP="00A12BAB">
            <w:pPr>
              <w:jc w:val="center"/>
              <w:rPr>
                <w:sz w:val="20"/>
                <w:szCs w:val="20"/>
              </w:rPr>
            </w:pPr>
            <w:r>
              <w:rPr>
                <w:sz w:val="20"/>
                <w:szCs w:val="20"/>
              </w:rPr>
              <w:t>2</w:t>
            </w:r>
          </w:p>
        </w:tc>
      </w:tr>
      <w:tr w:rsidR="00EE3000" w:rsidRPr="00CB01FF" w:rsidTr="00A12BAB">
        <w:tc>
          <w:tcPr>
            <w:tcW w:w="2394" w:type="dxa"/>
          </w:tcPr>
          <w:p w:rsidR="00EE3000" w:rsidRPr="00CB01FF" w:rsidRDefault="00EE3000" w:rsidP="00A12BAB">
            <w:pPr>
              <w:jc w:val="center"/>
              <w:rPr>
                <w:sz w:val="20"/>
                <w:szCs w:val="20"/>
              </w:rPr>
            </w:pPr>
            <w:r w:rsidRPr="00CB01FF">
              <w:rPr>
                <w:sz w:val="20"/>
                <w:szCs w:val="20"/>
              </w:rPr>
              <w:t>25,000 – 50,000 sq. ft.</w:t>
            </w:r>
          </w:p>
        </w:tc>
        <w:tc>
          <w:tcPr>
            <w:tcW w:w="2394" w:type="dxa"/>
          </w:tcPr>
          <w:p w:rsidR="00EE3000" w:rsidRPr="00CB01FF" w:rsidRDefault="00EE3000" w:rsidP="00A12BAB">
            <w:pPr>
              <w:jc w:val="center"/>
              <w:rPr>
                <w:sz w:val="20"/>
                <w:szCs w:val="20"/>
              </w:rPr>
            </w:pPr>
            <w:r>
              <w:rPr>
                <w:sz w:val="20"/>
                <w:szCs w:val="20"/>
              </w:rPr>
              <w:t>350</w:t>
            </w:r>
          </w:p>
        </w:tc>
        <w:tc>
          <w:tcPr>
            <w:tcW w:w="2394" w:type="dxa"/>
          </w:tcPr>
          <w:p w:rsidR="00EE3000" w:rsidRPr="00CB01FF" w:rsidRDefault="00EE3000" w:rsidP="00A12BAB">
            <w:pPr>
              <w:jc w:val="center"/>
              <w:rPr>
                <w:sz w:val="20"/>
                <w:szCs w:val="20"/>
              </w:rPr>
            </w:pPr>
            <w:r>
              <w:rPr>
                <w:sz w:val="20"/>
                <w:szCs w:val="20"/>
              </w:rPr>
              <w:t>200</w:t>
            </w:r>
          </w:p>
        </w:tc>
        <w:tc>
          <w:tcPr>
            <w:tcW w:w="2394" w:type="dxa"/>
          </w:tcPr>
          <w:p w:rsidR="00EE3000" w:rsidRPr="00CB01FF" w:rsidRDefault="00EE3000" w:rsidP="00A12BAB">
            <w:pPr>
              <w:jc w:val="center"/>
              <w:rPr>
                <w:sz w:val="20"/>
                <w:szCs w:val="20"/>
              </w:rPr>
            </w:pPr>
            <w:r>
              <w:rPr>
                <w:sz w:val="20"/>
                <w:szCs w:val="20"/>
              </w:rPr>
              <w:t>2</w:t>
            </w:r>
          </w:p>
        </w:tc>
      </w:tr>
      <w:tr w:rsidR="00EE3000" w:rsidRPr="00CB01FF" w:rsidTr="00A12BAB">
        <w:tc>
          <w:tcPr>
            <w:tcW w:w="2394" w:type="dxa"/>
          </w:tcPr>
          <w:p w:rsidR="00EE3000" w:rsidRPr="00CB01FF" w:rsidRDefault="00EE3000" w:rsidP="00A12BAB">
            <w:pPr>
              <w:jc w:val="center"/>
              <w:rPr>
                <w:sz w:val="20"/>
                <w:szCs w:val="20"/>
              </w:rPr>
            </w:pPr>
            <w:r w:rsidRPr="00CB01FF">
              <w:rPr>
                <w:sz w:val="20"/>
                <w:szCs w:val="20"/>
              </w:rPr>
              <w:t>50,000 – 100,000 sq. ft.</w:t>
            </w:r>
          </w:p>
        </w:tc>
        <w:tc>
          <w:tcPr>
            <w:tcW w:w="2394" w:type="dxa"/>
          </w:tcPr>
          <w:p w:rsidR="00EE3000" w:rsidRPr="00CB01FF" w:rsidRDefault="00EE3000" w:rsidP="00A12BAB">
            <w:pPr>
              <w:jc w:val="center"/>
              <w:rPr>
                <w:sz w:val="20"/>
                <w:szCs w:val="20"/>
              </w:rPr>
            </w:pPr>
            <w:r>
              <w:rPr>
                <w:sz w:val="20"/>
                <w:szCs w:val="20"/>
              </w:rPr>
              <w:t>450</w:t>
            </w:r>
          </w:p>
        </w:tc>
        <w:tc>
          <w:tcPr>
            <w:tcW w:w="2394" w:type="dxa"/>
          </w:tcPr>
          <w:p w:rsidR="00EE3000" w:rsidRPr="00CB01FF" w:rsidRDefault="00EE3000" w:rsidP="00A12BAB">
            <w:pPr>
              <w:jc w:val="center"/>
              <w:rPr>
                <w:sz w:val="20"/>
                <w:szCs w:val="20"/>
              </w:rPr>
            </w:pPr>
            <w:r>
              <w:rPr>
                <w:sz w:val="20"/>
                <w:szCs w:val="20"/>
              </w:rPr>
              <w:t>225</w:t>
            </w:r>
          </w:p>
        </w:tc>
        <w:tc>
          <w:tcPr>
            <w:tcW w:w="2394" w:type="dxa"/>
          </w:tcPr>
          <w:p w:rsidR="00EE3000" w:rsidRPr="00CB01FF" w:rsidRDefault="00EE3000" w:rsidP="00A12BAB">
            <w:pPr>
              <w:jc w:val="center"/>
              <w:rPr>
                <w:sz w:val="20"/>
                <w:szCs w:val="20"/>
              </w:rPr>
            </w:pPr>
            <w:r>
              <w:rPr>
                <w:sz w:val="20"/>
                <w:szCs w:val="20"/>
              </w:rPr>
              <w:t>3</w:t>
            </w:r>
          </w:p>
        </w:tc>
      </w:tr>
      <w:tr w:rsidR="00EE3000" w:rsidRPr="00CB01FF" w:rsidTr="00A12BAB">
        <w:tc>
          <w:tcPr>
            <w:tcW w:w="2394" w:type="dxa"/>
          </w:tcPr>
          <w:p w:rsidR="00EE3000" w:rsidRPr="00CB01FF" w:rsidRDefault="00EE3000" w:rsidP="00A12BAB">
            <w:pPr>
              <w:jc w:val="center"/>
              <w:rPr>
                <w:sz w:val="20"/>
                <w:szCs w:val="20"/>
              </w:rPr>
            </w:pPr>
            <w:r w:rsidRPr="00CB01FF">
              <w:rPr>
                <w:sz w:val="20"/>
                <w:szCs w:val="20"/>
              </w:rPr>
              <w:t>100,000 – 150,000 sq. ft.</w:t>
            </w:r>
          </w:p>
        </w:tc>
        <w:tc>
          <w:tcPr>
            <w:tcW w:w="2394" w:type="dxa"/>
          </w:tcPr>
          <w:p w:rsidR="00EE3000" w:rsidRPr="00CB01FF" w:rsidRDefault="00EE3000" w:rsidP="00A12BAB">
            <w:pPr>
              <w:jc w:val="center"/>
              <w:rPr>
                <w:sz w:val="20"/>
                <w:szCs w:val="20"/>
              </w:rPr>
            </w:pPr>
            <w:r>
              <w:rPr>
                <w:sz w:val="20"/>
                <w:szCs w:val="20"/>
              </w:rPr>
              <w:t>550</w:t>
            </w:r>
          </w:p>
        </w:tc>
        <w:tc>
          <w:tcPr>
            <w:tcW w:w="2394" w:type="dxa"/>
          </w:tcPr>
          <w:p w:rsidR="00EE3000" w:rsidRPr="00CB01FF" w:rsidRDefault="00EE3000" w:rsidP="00A12BAB">
            <w:pPr>
              <w:jc w:val="center"/>
              <w:rPr>
                <w:sz w:val="20"/>
                <w:szCs w:val="20"/>
              </w:rPr>
            </w:pPr>
            <w:r>
              <w:rPr>
                <w:sz w:val="20"/>
                <w:szCs w:val="20"/>
              </w:rPr>
              <w:t>275</w:t>
            </w:r>
          </w:p>
        </w:tc>
        <w:tc>
          <w:tcPr>
            <w:tcW w:w="2394" w:type="dxa"/>
          </w:tcPr>
          <w:p w:rsidR="00EE3000" w:rsidRPr="00CB01FF" w:rsidRDefault="00EE3000" w:rsidP="00A12BAB">
            <w:pPr>
              <w:jc w:val="center"/>
              <w:rPr>
                <w:sz w:val="20"/>
                <w:szCs w:val="20"/>
              </w:rPr>
            </w:pPr>
            <w:r>
              <w:rPr>
                <w:sz w:val="20"/>
                <w:szCs w:val="20"/>
              </w:rPr>
              <w:t>4</w:t>
            </w:r>
          </w:p>
        </w:tc>
      </w:tr>
      <w:tr w:rsidR="00EE3000" w:rsidRPr="00CB01FF" w:rsidTr="00A12BAB">
        <w:tc>
          <w:tcPr>
            <w:tcW w:w="2394" w:type="dxa"/>
          </w:tcPr>
          <w:p w:rsidR="00EE3000" w:rsidRPr="00CB01FF" w:rsidRDefault="00EE3000" w:rsidP="00A12BAB">
            <w:pPr>
              <w:jc w:val="center"/>
              <w:rPr>
                <w:sz w:val="20"/>
                <w:szCs w:val="20"/>
              </w:rPr>
            </w:pPr>
            <w:r>
              <w:rPr>
                <w:sz w:val="20"/>
                <w:szCs w:val="20"/>
              </w:rPr>
              <w:t>Over 150,000 sq. ft.</w:t>
            </w:r>
          </w:p>
        </w:tc>
        <w:tc>
          <w:tcPr>
            <w:tcW w:w="2394" w:type="dxa"/>
          </w:tcPr>
          <w:p w:rsidR="00EE3000" w:rsidRPr="00CB01FF" w:rsidRDefault="00EE3000" w:rsidP="00A12BAB">
            <w:pPr>
              <w:jc w:val="center"/>
              <w:rPr>
                <w:sz w:val="20"/>
                <w:szCs w:val="20"/>
              </w:rPr>
            </w:pPr>
            <w:r>
              <w:rPr>
                <w:sz w:val="20"/>
                <w:szCs w:val="20"/>
              </w:rPr>
              <w:t>800</w:t>
            </w:r>
          </w:p>
        </w:tc>
        <w:tc>
          <w:tcPr>
            <w:tcW w:w="2394" w:type="dxa"/>
          </w:tcPr>
          <w:p w:rsidR="00EE3000" w:rsidRPr="00CB01FF" w:rsidRDefault="00EE3000" w:rsidP="00A12BAB">
            <w:pPr>
              <w:jc w:val="center"/>
              <w:rPr>
                <w:sz w:val="20"/>
                <w:szCs w:val="20"/>
              </w:rPr>
            </w:pPr>
            <w:r>
              <w:rPr>
                <w:sz w:val="20"/>
                <w:szCs w:val="20"/>
              </w:rPr>
              <w:t>300</w:t>
            </w:r>
          </w:p>
        </w:tc>
        <w:tc>
          <w:tcPr>
            <w:tcW w:w="2394" w:type="dxa"/>
          </w:tcPr>
          <w:p w:rsidR="00EE3000" w:rsidRPr="00CB01FF" w:rsidRDefault="00EE3000" w:rsidP="00A12BAB">
            <w:pPr>
              <w:jc w:val="center"/>
              <w:rPr>
                <w:sz w:val="20"/>
                <w:szCs w:val="20"/>
              </w:rPr>
            </w:pPr>
            <w:r>
              <w:rPr>
                <w:sz w:val="20"/>
                <w:szCs w:val="20"/>
              </w:rPr>
              <w:t>5</w:t>
            </w:r>
          </w:p>
        </w:tc>
      </w:tr>
    </w:tbl>
    <w:p w:rsidR="00015F7F" w:rsidRDefault="00015F7F" w:rsidP="00231E05"/>
    <w:p w:rsidR="00231E05" w:rsidRDefault="00231E05" w:rsidP="00231E05">
      <w:r>
        <w:t>Page 20, Sect 20-58 (c) sub-sections 5</w:t>
      </w:r>
      <w:r w:rsidR="00015F7F">
        <w:t xml:space="preserve">, 6, 7 &amp; </w:t>
      </w:r>
      <w:r>
        <w:t>8</w:t>
      </w:r>
      <w:r w:rsidR="00015F7F">
        <w:t>,</w:t>
      </w:r>
      <w:r>
        <w:t xml:space="preserve"> </w:t>
      </w:r>
      <w:r w:rsidR="00015F7F">
        <w:t>R</w:t>
      </w:r>
      <w:r>
        <w:t>eplace with a table for retail ground signs:</w:t>
      </w:r>
    </w:p>
    <w:tbl>
      <w:tblPr>
        <w:tblStyle w:val="TableGrid"/>
        <w:tblW w:w="0" w:type="auto"/>
        <w:tblLook w:val="04A0"/>
      </w:tblPr>
      <w:tblGrid>
        <w:gridCol w:w="2628"/>
        <w:gridCol w:w="2160"/>
        <w:gridCol w:w="2394"/>
        <w:gridCol w:w="2394"/>
      </w:tblGrid>
      <w:tr w:rsidR="00EE3000" w:rsidRPr="00CB01FF" w:rsidTr="00A12BAB">
        <w:tc>
          <w:tcPr>
            <w:tcW w:w="2628" w:type="dxa"/>
          </w:tcPr>
          <w:p w:rsidR="00EE3000" w:rsidRPr="00CB01FF" w:rsidRDefault="00EE3000" w:rsidP="00A12BAB">
            <w:pPr>
              <w:jc w:val="center"/>
              <w:rPr>
                <w:sz w:val="20"/>
                <w:szCs w:val="20"/>
              </w:rPr>
            </w:pPr>
            <w:r w:rsidRPr="00CB01FF">
              <w:rPr>
                <w:sz w:val="20"/>
                <w:szCs w:val="20"/>
              </w:rPr>
              <w:t>Floor Area of Tenant Space</w:t>
            </w:r>
          </w:p>
        </w:tc>
        <w:tc>
          <w:tcPr>
            <w:tcW w:w="2160" w:type="dxa"/>
          </w:tcPr>
          <w:p w:rsidR="00EE3000" w:rsidRPr="00CB01FF" w:rsidRDefault="00EE3000" w:rsidP="00A12BAB">
            <w:pPr>
              <w:jc w:val="center"/>
              <w:rPr>
                <w:sz w:val="20"/>
                <w:szCs w:val="20"/>
              </w:rPr>
            </w:pPr>
            <w:r>
              <w:rPr>
                <w:sz w:val="20"/>
                <w:szCs w:val="20"/>
              </w:rPr>
              <w:t>Maximum Height</w:t>
            </w:r>
          </w:p>
        </w:tc>
        <w:tc>
          <w:tcPr>
            <w:tcW w:w="2394" w:type="dxa"/>
          </w:tcPr>
          <w:p w:rsidR="00EE3000" w:rsidRPr="00CB01FF" w:rsidRDefault="00EE3000" w:rsidP="00A12BAB">
            <w:pPr>
              <w:jc w:val="center"/>
              <w:rPr>
                <w:sz w:val="20"/>
                <w:szCs w:val="20"/>
              </w:rPr>
            </w:pPr>
            <w:r>
              <w:rPr>
                <w:sz w:val="20"/>
                <w:szCs w:val="20"/>
              </w:rPr>
              <w:t>Maximum Width</w:t>
            </w:r>
          </w:p>
        </w:tc>
        <w:tc>
          <w:tcPr>
            <w:tcW w:w="2394" w:type="dxa"/>
          </w:tcPr>
          <w:p w:rsidR="00EE3000" w:rsidRPr="00CB01FF" w:rsidRDefault="00EE3000" w:rsidP="00A12BAB">
            <w:pPr>
              <w:jc w:val="center"/>
              <w:rPr>
                <w:sz w:val="20"/>
                <w:szCs w:val="20"/>
              </w:rPr>
            </w:pPr>
            <w:r>
              <w:rPr>
                <w:sz w:val="20"/>
                <w:szCs w:val="20"/>
              </w:rPr>
              <w:t>Maximum Sign Area</w:t>
            </w:r>
          </w:p>
        </w:tc>
      </w:tr>
      <w:tr w:rsidR="00EE3000" w:rsidRPr="00CB01FF" w:rsidTr="00A12BAB">
        <w:tc>
          <w:tcPr>
            <w:tcW w:w="2628" w:type="dxa"/>
          </w:tcPr>
          <w:p w:rsidR="00EE3000" w:rsidRPr="00CB01FF" w:rsidRDefault="00EE3000" w:rsidP="00A12BAB">
            <w:pPr>
              <w:jc w:val="center"/>
              <w:rPr>
                <w:sz w:val="20"/>
                <w:szCs w:val="20"/>
              </w:rPr>
            </w:pPr>
            <w:r>
              <w:rPr>
                <w:sz w:val="20"/>
                <w:szCs w:val="20"/>
              </w:rPr>
              <w:t>Less than</w:t>
            </w:r>
            <w:r w:rsidRPr="00CB01FF">
              <w:rPr>
                <w:sz w:val="20"/>
                <w:szCs w:val="20"/>
              </w:rPr>
              <w:t xml:space="preserve"> 2,500 sq. ft.</w:t>
            </w:r>
          </w:p>
        </w:tc>
        <w:tc>
          <w:tcPr>
            <w:tcW w:w="2160" w:type="dxa"/>
          </w:tcPr>
          <w:p w:rsidR="00EE3000" w:rsidRPr="00CB01FF" w:rsidRDefault="00EE3000" w:rsidP="00A12BAB">
            <w:pPr>
              <w:jc w:val="center"/>
              <w:rPr>
                <w:sz w:val="20"/>
                <w:szCs w:val="20"/>
              </w:rPr>
            </w:pPr>
            <w:r>
              <w:rPr>
                <w:sz w:val="20"/>
                <w:szCs w:val="20"/>
              </w:rPr>
              <w:t>7</w:t>
            </w:r>
          </w:p>
        </w:tc>
        <w:tc>
          <w:tcPr>
            <w:tcW w:w="2394" w:type="dxa"/>
          </w:tcPr>
          <w:p w:rsidR="00EE3000" w:rsidRPr="00CB01FF" w:rsidRDefault="00EE3000" w:rsidP="00A12BAB">
            <w:pPr>
              <w:jc w:val="center"/>
              <w:rPr>
                <w:sz w:val="20"/>
                <w:szCs w:val="20"/>
              </w:rPr>
            </w:pPr>
            <w:r>
              <w:rPr>
                <w:sz w:val="20"/>
                <w:szCs w:val="20"/>
              </w:rPr>
              <w:t>6</w:t>
            </w:r>
          </w:p>
        </w:tc>
        <w:tc>
          <w:tcPr>
            <w:tcW w:w="2394" w:type="dxa"/>
          </w:tcPr>
          <w:p w:rsidR="00EE3000" w:rsidRPr="00CB01FF" w:rsidRDefault="00EE3000" w:rsidP="00A12BAB">
            <w:pPr>
              <w:jc w:val="center"/>
              <w:rPr>
                <w:sz w:val="20"/>
                <w:szCs w:val="20"/>
              </w:rPr>
            </w:pPr>
            <w:r>
              <w:rPr>
                <w:sz w:val="20"/>
                <w:szCs w:val="20"/>
              </w:rPr>
              <w:t>34</w:t>
            </w:r>
          </w:p>
        </w:tc>
      </w:tr>
      <w:tr w:rsidR="00EE3000" w:rsidRPr="00CB01FF" w:rsidTr="00A12BAB">
        <w:tc>
          <w:tcPr>
            <w:tcW w:w="2628" w:type="dxa"/>
          </w:tcPr>
          <w:p w:rsidR="00EE3000" w:rsidRPr="00CB01FF" w:rsidRDefault="00EE3000" w:rsidP="00A12BAB">
            <w:pPr>
              <w:jc w:val="center"/>
              <w:rPr>
                <w:sz w:val="20"/>
                <w:szCs w:val="20"/>
              </w:rPr>
            </w:pPr>
            <w:r w:rsidRPr="00CB01FF">
              <w:rPr>
                <w:sz w:val="20"/>
                <w:szCs w:val="20"/>
              </w:rPr>
              <w:t>2,500 – 10,000 sq. ft.</w:t>
            </w:r>
          </w:p>
        </w:tc>
        <w:tc>
          <w:tcPr>
            <w:tcW w:w="2160" w:type="dxa"/>
          </w:tcPr>
          <w:p w:rsidR="00EE3000" w:rsidRPr="00CB01FF" w:rsidRDefault="00EE3000" w:rsidP="00A12BAB">
            <w:pPr>
              <w:jc w:val="center"/>
              <w:rPr>
                <w:sz w:val="20"/>
                <w:szCs w:val="20"/>
              </w:rPr>
            </w:pPr>
            <w:r>
              <w:rPr>
                <w:sz w:val="20"/>
                <w:szCs w:val="20"/>
              </w:rPr>
              <w:t>10</w:t>
            </w:r>
          </w:p>
        </w:tc>
        <w:tc>
          <w:tcPr>
            <w:tcW w:w="2394" w:type="dxa"/>
          </w:tcPr>
          <w:p w:rsidR="00EE3000" w:rsidRPr="00CB01FF" w:rsidRDefault="00EE3000" w:rsidP="00A12BAB">
            <w:pPr>
              <w:jc w:val="center"/>
              <w:rPr>
                <w:sz w:val="20"/>
                <w:szCs w:val="20"/>
              </w:rPr>
            </w:pPr>
            <w:r>
              <w:rPr>
                <w:sz w:val="20"/>
                <w:szCs w:val="20"/>
              </w:rPr>
              <w:t>8</w:t>
            </w:r>
          </w:p>
        </w:tc>
        <w:tc>
          <w:tcPr>
            <w:tcW w:w="2394" w:type="dxa"/>
          </w:tcPr>
          <w:p w:rsidR="00EE3000" w:rsidRPr="00CB01FF" w:rsidRDefault="00EE3000" w:rsidP="00A12BAB">
            <w:pPr>
              <w:jc w:val="center"/>
              <w:rPr>
                <w:sz w:val="20"/>
                <w:szCs w:val="20"/>
              </w:rPr>
            </w:pPr>
            <w:r>
              <w:rPr>
                <w:sz w:val="20"/>
                <w:szCs w:val="20"/>
              </w:rPr>
              <w:t>64</w:t>
            </w:r>
          </w:p>
        </w:tc>
      </w:tr>
      <w:tr w:rsidR="00EE3000" w:rsidRPr="00CB01FF" w:rsidTr="00A12BAB">
        <w:tc>
          <w:tcPr>
            <w:tcW w:w="2628" w:type="dxa"/>
          </w:tcPr>
          <w:p w:rsidR="00EE3000" w:rsidRPr="00CB01FF" w:rsidRDefault="00EE3000" w:rsidP="00A12BAB">
            <w:pPr>
              <w:jc w:val="center"/>
              <w:rPr>
                <w:sz w:val="20"/>
                <w:szCs w:val="20"/>
              </w:rPr>
            </w:pPr>
            <w:r w:rsidRPr="00CB01FF">
              <w:rPr>
                <w:sz w:val="20"/>
                <w:szCs w:val="20"/>
              </w:rPr>
              <w:t>10,000 – 25,000 sq. ft.</w:t>
            </w:r>
          </w:p>
        </w:tc>
        <w:tc>
          <w:tcPr>
            <w:tcW w:w="2160" w:type="dxa"/>
          </w:tcPr>
          <w:p w:rsidR="00EE3000" w:rsidRPr="00CB01FF" w:rsidRDefault="00EE3000" w:rsidP="00A12BAB">
            <w:pPr>
              <w:jc w:val="center"/>
              <w:rPr>
                <w:sz w:val="20"/>
                <w:szCs w:val="20"/>
              </w:rPr>
            </w:pPr>
            <w:r>
              <w:rPr>
                <w:sz w:val="20"/>
                <w:szCs w:val="20"/>
              </w:rPr>
              <w:t>12</w:t>
            </w:r>
          </w:p>
        </w:tc>
        <w:tc>
          <w:tcPr>
            <w:tcW w:w="2394" w:type="dxa"/>
          </w:tcPr>
          <w:p w:rsidR="00EE3000" w:rsidRPr="00CB01FF" w:rsidRDefault="00EE3000" w:rsidP="00A12BAB">
            <w:pPr>
              <w:jc w:val="center"/>
              <w:rPr>
                <w:sz w:val="20"/>
                <w:szCs w:val="20"/>
              </w:rPr>
            </w:pPr>
            <w:r>
              <w:rPr>
                <w:sz w:val="20"/>
                <w:szCs w:val="20"/>
              </w:rPr>
              <w:t>10</w:t>
            </w:r>
          </w:p>
        </w:tc>
        <w:tc>
          <w:tcPr>
            <w:tcW w:w="2394" w:type="dxa"/>
          </w:tcPr>
          <w:p w:rsidR="00EE3000" w:rsidRPr="00CB01FF" w:rsidRDefault="00EE3000" w:rsidP="00A12BAB">
            <w:pPr>
              <w:jc w:val="center"/>
              <w:rPr>
                <w:sz w:val="20"/>
                <w:szCs w:val="20"/>
              </w:rPr>
            </w:pPr>
            <w:r>
              <w:rPr>
                <w:sz w:val="20"/>
                <w:szCs w:val="20"/>
              </w:rPr>
              <w:t>96</w:t>
            </w:r>
          </w:p>
        </w:tc>
      </w:tr>
      <w:tr w:rsidR="00EE3000" w:rsidRPr="00CB01FF" w:rsidTr="00A12BAB">
        <w:tc>
          <w:tcPr>
            <w:tcW w:w="2628" w:type="dxa"/>
          </w:tcPr>
          <w:p w:rsidR="00EE3000" w:rsidRPr="00CB01FF" w:rsidRDefault="00EE3000" w:rsidP="00A12BAB">
            <w:pPr>
              <w:jc w:val="center"/>
              <w:rPr>
                <w:sz w:val="20"/>
                <w:szCs w:val="20"/>
              </w:rPr>
            </w:pPr>
            <w:r w:rsidRPr="00CB01FF">
              <w:rPr>
                <w:sz w:val="20"/>
                <w:szCs w:val="20"/>
              </w:rPr>
              <w:t>25,000 – 50,000 sq. ft.</w:t>
            </w:r>
          </w:p>
        </w:tc>
        <w:tc>
          <w:tcPr>
            <w:tcW w:w="2160" w:type="dxa"/>
          </w:tcPr>
          <w:p w:rsidR="00EE3000" w:rsidRPr="00CB01FF" w:rsidRDefault="00EE3000" w:rsidP="00A12BAB">
            <w:pPr>
              <w:jc w:val="center"/>
              <w:rPr>
                <w:sz w:val="20"/>
                <w:szCs w:val="20"/>
              </w:rPr>
            </w:pPr>
            <w:r>
              <w:rPr>
                <w:sz w:val="20"/>
                <w:szCs w:val="20"/>
              </w:rPr>
              <w:t>15</w:t>
            </w:r>
          </w:p>
        </w:tc>
        <w:tc>
          <w:tcPr>
            <w:tcW w:w="2394" w:type="dxa"/>
          </w:tcPr>
          <w:p w:rsidR="00EE3000" w:rsidRPr="00CB01FF" w:rsidRDefault="00EE3000" w:rsidP="00A12BAB">
            <w:pPr>
              <w:jc w:val="center"/>
              <w:rPr>
                <w:sz w:val="20"/>
                <w:szCs w:val="20"/>
              </w:rPr>
            </w:pPr>
            <w:r>
              <w:rPr>
                <w:sz w:val="20"/>
                <w:szCs w:val="20"/>
              </w:rPr>
              <w:t>10</w:t>
            </w:r>
          </w:p>
        </w:tc>
        <w:tc>
          <w:tcPr>
            <w:tcW w:w="2394" w:type="dxa"/>
          </w:tcPr>
          <w:p w:rsidR="00EE3000" w:rsidRPr="00CB01FF" w:rsidRDefault="00EE3000" w:rsidP="00A12BAB">
            <w:pPr>
              <w:jc w:val="center"/>
              <w:rPr>
                <w:sz w:val="20"/>
                <w:szCs w:val="20"/>
              </w:rPr>
            </w:pPr>
            <w:r>
              <w:rPr>
                <w:sz w:val="20"/>
                <w:szCs w:val="20"/>
              </w:rPr>
              <w:t>120</w:t>
            </w:r>
          </w:p>
        </w:tc>
      </w:tr>
      <w:tr w:rsidR="00EE3000" w:rsidRPr="00CB01FF" w:rsidTr="00A12BAB">
        <w:tc>
          <w:tcPr>
            <w:tcW w:w="2628" w:type="dxa"/>
          </w:tcPr>
          <w:p w:rsidR="00EE3000" w:rsidRPr="00CB01FF" w:rsidRDefault="00EE3000" w:rsidP="00A12BAB">
            <w:pPr>
              <w:jc w:val="center"/>
              <w:rPr>
                <w:sz w:val="20"/>
                <w:szCs w:val="20"/>
              </w:rPr>
            </w:pPr>
            <w:r w:rsidRPr="00CB01FF">
              <w:rPr>
                <w:sz w:val="20"/>
                <w:szCs w:val="20"/>
              </w:rPr>
              <w:t>50,000 – 100,000 sq. ft.</w:t>
            </w:r>
          </w:p>
        </w:tc>
        <w:tc>
          <w:tcPr>
            <w:tcW w:w="2160" w:type="dxa"/>
          </w:tcPr>
          <w:p w:rsidR="00EE3000" w:rsidRPr="00CB01FF" w:rsidRDefault="00EE3000" w:rsidP="00A12BAB">
            <w:pPr>
              <w:jc w:val="center"/>
              <w:rPr>
                <w:sz w:val="20"/>
                <w:szCs w:val="20"/>
              </w:rPr>
            </w:pPr>
            <w:r>
              <w:rPr>
                <w:sz w:val="20"/>
                <w:szCs w:val="20"/>
              </w:rPr>
              <w:t>15</w:t>
            </w:r>
          </w:p>
        </w:tc>
        <w:tc>
          <w:tcPr>
            <w:tcW w:w="2394" w:type="dxa"/>
          </w:tcPr>
          <w:p w:rsidR="00EE3000" w:rsidRPr="00CB01FF" w:rsidRDefault="00EE3000" w:rsidP="00A12BAB">
            <w:pPr>
              <w:jc w:val="center"/>
              <w:rPr>
                <w:sz w:val="20"/>
                <w:szCs w:val="20"/>
              </w:rPr>
            </w:pPr>
            <w:r>
              <w:rPr>
                <w:sz w:val="20"/>
                <w:szCs w:val="20"/>
              </w:rPr>
              <w:t>12</w:t>
            </w:r>
          </w:p>
        </w:tc>
        <w:tc>
          <w:tcPr>
            <w:tcW w:w="2394" w:type="dxa"/>
          </w:tcPr>
          <w:p w:rsidR="00EE3000" w:rsidRPr="00CB01FF" w:rsidRDefault="00EE3000" w:rsidP="00A12BAB">
            <w:pPr>
              <w:jc w:val="center"/>
              <w:rPr>
                <w:sz w:val="20"/>
                <w:szCs w:val="20"/>
              </w:rPr>
            </w:pPr>
            <w:r>
              <w:rPr>
                <w:sz w:val="20"/>
                <w:szCs w:val="20"/>
              </w:rPr>
              <w:t>144</w:t>
            </w:r>
          </w:p>
        </w:tc>
      </w:tr>
      <w:tr w:rsidR="00EE3000" w:rsidRPr="00CB01FF" w:rsidTr="00A12BAB">
        <w:tc>
          <w:tcPr>
            <w:tcW w:w="2628" w:type="dxa"/>
          </w:tcPr>
          <w:p w:rsidR="00EE3000" w:rsidRPr="00CB01FF" w:rsidRDefault="00EE3000" w:rsidP="00A12BAB">
            <w:pPr>
              <w:jc w:val="center"/>
              <w:rPr>
                <w:sz w:val="20"/>
                <w:szCs w:val="20"/>
              </w:rPr>
            </w:pPr>
            <w:r w:rsidRPr="00CB01FF">
              <w:rPr>
                <w:sz w:val="20"/>
                <w:szCs w:val="20"/>
              </w:rPr>
              <w:t>100,000 – 150,000 sq. ft.</w:t>
            </w:r>
          </w:p>
        </w:tc>
        <w:tc>
          <w:tcPr>
            <w:tcW w:w="2160" w:type="dxa"/>
          </w:tcPr>
          <w:p w:rsidR="00EE3000" w:rsidRPr="00CB01FF" w:rsidRDefault="00EE3000" w:rsidP="00A12BAB">
            <w:pPr>
              <w:jc w:val="center"/>
              <w:rPr>
                <w:sz w:val="20"/>
                <w:szCs w:val="20"/>
              </w:rPr>
            </w:pPr>
            <w:r>
              <w:rPr>
                <w:sz w:val="20"/>
                <w:szCs w:val="20"/>
              </w:rPr>
              <w:t>17</w:t>
            </w:r>
          </w:p>
        </w:tc>
        <w:tc>
          <w:tcPr>
            <w:tcW w:w="2394" w:type="dxa"/>
          </w:tcPr>
          <w:p w:rsidR="00EE3000" w:rsidRPr="00CB01FF" w:rsidRDefault="00EE3000" w:rsidP="00A12BAB">
            <w:pPr>
              <w:jc w:val="center"/>
              <w:rPr>
                <w:sz w:val="20"/>
                <w:szCs w:val="20"/>
              </w:rPr>
            </w:pPr>
            <w:r>
              <w:rPr>
                <w:sz w:val="20"/>
                <w:szCs w:val="20"/>
              </w:rPr>
              <w:t>15</w:t>
            </w:r>
          </w:p>
        </w:tc>
        <w:tc>
          <w:tcPr>
            <w:tcW w:w="2394" w:type="dxa"/>
          </w:tcPr>
          <w:p w:rsidR="00EE3000" w:rsidRPr="00CB01FF" w:rsidRDefault="00EE3000" w:rsidP="00A12BAB">
            <w:pPr>
              <w:jc w:val="center"/>
              <w:rPr>
                <w:sz w:val="20"/>
                <w:szCs w:val="20"/>
              </w:rPr>
            </w:pPr>
            <w:r>
              <w:rPr>
                <w:sz w:val="20"/>
                <w:szCs w:val="20"/>
              </w:rPr>
              <w:t>204</w:t>
            </w:r>
          </w:p>
        </w:tc>
      </w:tr>
      <w:tr w:rsidR="00EE3000" w:rsidRPr="00CB01FF" w:rsidTr="00A12BAB">
        <w:tc>
          <w:tcPr>
            <w:tcW w:w="2628" w:type="dxa"/>
          </w:tcPr>
          <w:p w:rsidR="00EE3000" w:rsidRPr="00CB01FF" w:rsidRDefault="00EE3000" w:rsidP="00A12BAB">
            <w:pPr>
              <w:jc w:val="center"/>
              <w:rPr>
                <w:sz w:val="20"/>
                <w:szCs w:val="20"/>
              </w:rPr>
            </w:pPr>
            <w:r>
              <w:rPr>
                <w:sz w:val="20"/>
                <w:szCs w:val="20"/>
              </w:rPr>
              <w:t>150,000 – 250,000 sq. ft.</w:t>
            </w:r>
          </w:p>
        </w:tc>
        <w:tc>
          <w:tcPr>
            <w:tcW w:w="2160" w:type="dxa"/>
          </w:tcPr>
          <w:p w:rsidR="00EE3000" w:rsidRPr="00CB01FF" w:rsidRDefault="00EE3000" w:rsidP="00A12BAB">
            <w:pPr>
              <w:jc w:val="center"/>
              <w:rPr>
                <w:sz w:val="20"/>
                <w:szCs w:val="20"/>
              </w:rPr>
            </w:pPr>
            <w:r>
              <w:rPr>
                <w:sz w:val="20"/>
                <w:szCs w:val="20"/>
              </w:rPr>
              <w:t>20</w:t>
            </w:r>
          </w:p>
        </w:tc>
        <w:tc>
          <w:tcPr>
            <w:tcW w:w="2394" w:type="dxa"/>
          </w:tcPr>
          <w:p w:rsidR="00EE3000" w:rsidRPr="00CB01FF" w:rsidRDefault="00EE3000" w:rsidP="00A12BAB">
            <w:pPr>
              <w:jc w:val="center"/>
              <w:rPr>
                <w:sz w:val="20"/>
                <w:szCs w:val="20"/>
              </w:rPr>
            </w:pPr>
            <w:r>
              <w:rPr>
                <w:sz w:val="20"/>
                <w:szCs w:val="20"/>
              </w:rPr>
              <w:t>15</w:t>
            </w:r>
          </w:p>
        </w:tc>
        <w:tc>
          <w:tcPr>
            <w:tcW w:w="2394" w:type="dxa"/>
          </w:tcPr>
          <w:p w:rsidR="00EE3000" w:rsidRPr="00CB01FF" w:rsidRDefault="00EE3000" w:rsidP="00A12BAB">
            <w:pPr>
              <w:jc w:val="center"/>
              <w:rPr>
                <w:sz w:val="20"/>
                <w:szCs w:val="20"/>
              </w:rPr>
            </w:pPr>
            <w:r>
              <w:rPr>
                <w:sz w:val="20"/>
                <w:szCs w:val="20"/>
              </w:rPr>
              <w:t>240</w:t>
            </w:r>
          </w:p>
        </w:tc>
      </w:tr>
      <w:tr w:rsidR="00EE3000" w:rsidRPr="00CB01FF" w:rsidTr="00A12BAB">
        <w:tc>
          <w:tcPr>
            <w:tcW w:w="2628" w:type="dxa"/>
          </w:tcPr>
          <w:p w:rsidR="00EE3000" w:rsidRDefault="00EE3000" w:rsidP="00A12BAB">
            <w:pPr>
              <w:jc w:val="center"/>
              <w:rPr>
                <w:sz w:val="20"/>
                <w:szCs w:val="20"/>
              </w:rPr>
            </w:pPr>
            <w:r>
              <w:rPr>
                <w:sz w:val="20"/>
                <w:szCs w:val="20"/>
              </w:rPr>
              <w:t>Over 250,000 sq. ft.</w:t>
            </w:r>
          </w:p>
        </w:tc>
        <w:tc>
          <w:tcPr>
            <w:tcW w:w="2160" w:type="dxa"/>
          </w:tcPr>
          <w:p w:rsidR="00EE3000" w:rsidRDefault="00EE3000" w:rsidP="00A12BAB">
            <w:pPr>
              <w:jc w:val="center"/>
              <w:rPr>
                <w:sz w:val="20"/>
                <w:szCs w:val="20"/>
              </w:rPr>
            </w:pPr>
            <w:r>
              <w:rPr>
                <w:sz w:val="20"/>
                <w:szCs w:val="20"/>
              </w:rPr>
              <w:t>25</w:t>
            </w:r>
          </w:p>
        </w:tc>
        <w:tc>
          <w:tcPr>
            <w:tcW w:w="2394" w:type="dxa"/>
          </w:tcPr>
          <w:p w:rsidR="00EE3000" w:rsidRDefault="00EE3000" w:rsidP="00A12BAB">
            <w:pPr>
              <w:jc w:val="center"/>
              <w:rPr>
                <w:sz w:val="20"/>
                <w:szCs w:val="20"/>
              </w:rPr>
            </w:pPr>
            <w:r>
              <w:rPr>
                <w:sz w:val="20"/>
                <w:szCs w:val="20"/>
              </w:rPr>
              <w:t>15</w:t>
            </w:r>
          </w:p>
        </w:tc>
        <w:tc>
          <w:tcPr>
            <w:tcW w:w="2394" w:type="dxa"/>
          </w:tcPr>
          <w:p w:rsidR="00EE3000" w:rsidRDefault="00EE3000" w:rsidP="00A12BAB">
            <w:pPr>
              <w:jc w:val="center"/>
              <w:rPr>
                <w:sz w:val="20"/>
                <w:szCs w:val="20"/>
              </w:rPr>
            </w:pPr>
            <w:r>
              <w:rPr>
                <w:sz w:val="20"/>
                <w:szCs w:val="20"/>
              </w:rPr>
              <w:t>300</w:t>
            </w:r>
          </w:p>
        </w:tc>
      </w:tr>
    </w:tbl>
    <w:p w:rsidR="00231E05" w:rsidRDefault="00231E05" w:rsidP="00231E05"/>
    <w:p w:rsidR="00231E05" w:rsidRDefault="00EE3000" w:rsidP="00231E05">
      <w:pPr>
        <w:rPr>
          <w:rFonts w:ascii="Calibri" w:hAnsi="Calibri" w:cs="Calibri"/>
        </w:rPr>
      </w:pPr>
      <w:r>
        <w:t>P</w:t>
      </w:r>
      <w:r>
        <w:t xml:space="preserve">age 21, 50-58 (c), On Sect 2, </w:t>
      </w:r>
      <w:r w:rsidR="00015F7F">
        <w:t xml:space="preserve">change 40 to </w:t>
      </w:r>
      <w:r>
        <w:t>45</w:t>
      </w:r>
      <w:r w:rsidR="007370C8">
        <w:t>, Sect 3, change 80 to 40, sect</w:t>
      </w:r>
      <w:r w:rsidR="00231E05">
        <w:t xml:space="preserve"> (d), Replace with, “There shall be no more than one ground sign per street frontage per lot.</w:t>
      </w:r>
      <w:r w:rsidR="00015F7F">
        <w:rPr>
          <w:rFonts w:ascii="Calibri" w:hAnsi="Calibri" w:cs="Calibri"/>
        </w:rPr>
        <w:t>”</w:t>
      </w:r>
    </w:p>
    <w:p w:rsidR="00231E05" w:rsidRDefault="00231E05" w:rsidP="00231E05">
      <w:r>
        <w:t>Page 23, Section 20-60, Table Inset, modify Max height, Max width, Max number of ground and wall signs to agree with above.</w:t>
      </w:r>
    </w:p>
    <w:p w:rsidR="00231E05" w:rsidRDefault="00231E05" w:rsidP="00231E05">
      <w:r>
        <w:t xml:space="preserve">Page 26, Section 20-62 (b)(1), </w:t>
      </w:r>
      <w:r w:rsidR="00015F7F">
        <w:t>modify to read, “</w:t>
      </w:r>
      <w:r w:rsidR="007370C8">
        <w:t xml:space="preserve">Directly lit channel letters, numbers and logos may be used on building facades on buildings with 3 or more stories provided these raceway signs are located 50 feet or higher from ground level. </w:t>
      </w:r>
    </w:p>
    <w:p w:rsidR="007370C8" w:rsidRDefault="00231E05" w:rsidP="00231E05">
      <w:r>
        <w:t>Page 27, Section 20-65, add a new sub-section (c), “</w:t>
      </w:r>
      <w:r w:rsidR="007370C8" w:rsidRPr="007370C8">
        <w:t>The ZBA is permitted to grant variances in the number of ground signs per street frontage provided that no two  ground signs are placed closer than 500 linear feet from another ground sign on the same lot on the same street frontage.”</w:t>
      </w:r>
    </w:p>
    <w:sectPr w:rsidR="007370C8" w:rsidSect="006F518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5"/>
  <w:proofState w:spelling="clean" w:grammar="clean"/>
  <w:defaultTabStop w:val="720"/>
  <w:characterSpacingControl w:val="doNotCompress"/>
  <w:compat/>
  <w:rsids>
    <w:rsidRoot w:val="00231E05"/>
    <w:rsid w:val="00015F7F"/>
    <w:rsid w:val="00167E62"/>
    <w:rsid w:val="00231E05"/>
    <w:rsid w:val="006F5181"/>
    <w:rsid w:val="007370C8"/>
    <w:rsid w:val="00992980"/>
    <w:rsid w:val="009A08B2"/>
    <w:rsid w:val="009E0786"/>
    <w:rsid w:val="00A14C31"/>
    <w:rsid w:val="00CE1BE7"/>
    <w:rsid w:val="00DD28DC"/>
    <w:rsid w:val="00E66349"/>
    <w:rsid w:val="00EE30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518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E300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281</Words>
  <Characters>1608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Matria Healthcare, Inc.</Company>
  <LinksUpToDate>false</LinksUpToDate>
  <CharactersWithSpaces>1886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Wittenstein</dc:creator>
  <cp:keywords/>
  <dc:description/>
  <cp:lastModifiedBy>Robert Wittenstein</cp:lastModifiedBy>
  <cp:revision>1</cp:revision>
  <dcterms:created xsi:type="dcterms:W3CDTF">2010-07-26T14:59:00Z</dcterms:created>
  <dcterms:modified xsi:type="dcterms:W3CDTF">2010-07-26T15:35:00Z</dcterms:modified>
</cp:coreProperties>
</file>